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BCC2" w14:textId="77777777" w:rsidR="006A1DFB" w:rsidRPr="004B1EBD" w:rsidRDefault="006A1DFB" w:rsidP="006A1DFB">
      <w:pPr>
        <w:pStyle w:val="02topico"/>
        <w:spacing w:before="40" w:after="40" w:line="228" w:lineRule="auto"/>
        <w:jc w:val="center"/>
        <w:rPr>
          <w:rFonts w:ascii="Arial Narrow" w:eastAsia="Calibri" w:hAnsi="Arial Narrow"/>
          <w:szCs w:val="22"/>
        </w:rPr>
      </w:pPr>
      <w:bookmarkStart w:id="0" w:name="_Hlk89434474"/>
      <w:r w:rsidRPr="004B1EBD">
        <w:rPr>
          <w:rFonts w:ascii="Arial Narrow" w:eastAsia="Calibri" w:hAnsi="Arial Narrow"/>
          <w:szCs w:val="22"/>
        </w:rPr>
        <w:t>CHAMADA PÚBLICA 13/2021 - PROGRAMA DE APOIO INSTITUCIONAL PARA ORGANIZAÇÃO E PARTICIPAÇÃO EM EVENTOS TÉCNICO</w:t>
      </w:r>
      <w:r w:rsidRPr="004B1EBD">
        <w:rPr>
          <w:rFonts w:ascii="Cambria Math" w:eastAsia="Calibri" w:hAnsi="Cambria Math" w:cs="Cambria Math"/>
          <w:szCs w:val="22"/>
        </w:rPr>
        <w:t>‐</w:t>
      </w:r>
      <w:r w:rsidRPr="004B1EBD">
        <w:rPr>
          <w:rFonts w:ascii="Arial Narrow" w:eastAsia="Calibri" w:hAnsi="Arial Narrow"/>
          <w:szCs w:val="22"/>
        </w:rPr>
        <w:t>CIENTÍFICOS</w:t>
      </w:r>
    </w:p>
    <w:p w14:paraId="078D29D0" w14:textId="77777777" w:rsidR="006A1DFB" w:rsidRDefault="006A1DFB" w:rsidP="006A1DFB">
      <w:pPr>
        <w:spacing w:before="40" w:after="40" w:line="228" w:lineRule="auto"/>
        <w:jc w:val="center"/>
        <w:rPr>
          <w:rFonts w:ascii="Arial Narrow" w:hAnsi="Arial Narrow"/>
          <w:b/>
          <w:bCs/>
        </w:rPr>
      </w:pPr>
    </w:p>
    <w:p w14:paraId="4D89BDBE" w14:textId="77777777" w:rsidR="006A1DFB" w:rsidRPr="006A4B6C" w:rsidRDefault="006A1DFB" w:rsidP="006A1DFB">
      <w:pPr>
        <w:spacing w:before="40" w:after="40" w:line="228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6A4B6C">
        <w:rPr>
          <w:rFonts w:ascii="Arial Narrow" w:hAnsi="Arial Narrow"/>
          <w:b/>
          <w:bCs/>
          <w:sz w:val="36"/>
          <w:szCs w:val="36"/>
        </w:rPr>
        <w:t>Anexo I – Itens Financiáveis e Não Financiáveis</w:t>
      </w:r>
    </w:p>
    <w:p w14:paraId="3841102B" w14:textId="77777777" w:rsidR="006A1DFB" w:rsidRDefault="006A1DFB" w:rsidP="006A1DFB">
      <w:pPr>
        <w:spacing w:before="40" w:after="40" w:line="228" w:lineRule="auto"/>
        <w:jc w:val="center"/>
        <w:rPr>
          <w:rFonts w:ascii="Arial Narrow" w:hAnsi="Arial Narrow"/>
          <w:b/>
          <w:bCs/>
        </w:rPr>
      </w:pPr>
    </w:p>
    <w:p w14:paraId="72398EC3" w14:textId="77777777" w:rsidR="006A1DFB" w:rsidRPr="004B1EBD" w:rsidRDefault="006A1DFB" w:rsidP="006A1DFB">
      <w:pPr>
        <w:pStyle w:val="01texto"/>
        <w:spacing w:before="40" w:after="40" w:line="228" w:lineRule="auto"/>
        <w:jc w:val="center"/>
        <w:rPr>
          <w:rFonts w:ascii="Arial Narrow" w:hAnsi="Arial Narrow"/>
          <w:b/>
          <w:bCs/>
          <w:szCs w:val="22"/>
        </w:rPr>
      </w:pPr>
      <w:r w:rsidRPr="004B1EBD">
        <w:rPr>
          <w:rFonts w:ascii="Arial Narrow" w:hAnsi="Arial Narrow"/>
          <w:b/>
          <w:bCs/>
          <w:szCs w:val="22"/>
        </w:rPr>
        <w:t>Normatização específica para as solicitações de apoio financeiro para eventos.</w:t>
      </w:r>
    </w:p>
    <w:p w14:paraId="2526B5DE" w14:textId="77777777" w:rsidR="006A1DFB" w:rsidRPr="004B1EBD" w:rsidRDefault="006A1DFB" w:rsidP="006A1DFB">
      <w:pPr>
        <w:suppressAutoHyphens/>
        <w:spacing w:before="40" w:after="40" w:line="228" w:lineRule="auto"/>
        <w:jc w:val="center"/>
        <w:rPr>
          <w:rFonts w:ascii="Arial Narrow" w:eastAsia="Times New Roman" w:hAnsi="Arial Narrow" w:cs="Arial Narrow"/>
          <w:color w:val="000000"/>
          <w:spacing w:val="-4"/>
          <w:lang w:eastAsia="pt-BR"/>
        </w:rPr>
      </w:pPr>
      <w:r w:rsidRPr="004B1EBD">
        <w:rPr>
          <w:rFonts w:ascii="Arial Narrow" w:eastAsia="Times New Roman" w:hAnsi="Arial Narrow" w:cs="Arial Narrow"/>
          <w:color w:val="000000"/>
          <w:spacing w:val="-4"/>
          <w:lang w:eastAsia="pt-BR"/>
        </w:rPr>
        <w:t>Deverão observar em seus orçamentos os itens abaixo:</w:t>
      </w:r>
    </w:p>
    <w:p w14:paraId="591BD632" w14:textId="77777777" w:rsidR="006A1DFB" w:rsidRPr="004B1EBD" w:rsidRDefault="006A1DFB" w:rsidP="006A1DFB">
      <w:pPr>
        <w:suppressAutoHyphens/>
        <w:spacing w:before="40" w:after="40" w:line="228" w:lineRule="auto"/>
        <w:jc w:val="both"/>
        <w:rPr>
          <w:rFonts w:ascii="Arial Narrow" w:eastAsia="Times New Roman" w:hAnsi="Arial Narrow" w:cs="Arial Narrow"/>
          <w:color w:val="000000"/>
          <w:spacing w:val="-4"/>
          <w:lang w:eastAsia="pt-BR"/>
        </w:rPr>
      </w:pPr>
    </w:p>
    <w:tbl>
      <w:tblPr>
        <w:tblW w:w="492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0"/>
        <w:gridCol w:w="4170"/>
      </w:tblGrid>
      <w:tr w:rsidR="006A1DFB" w:rsidRPr="004B1EBD" w14:paraId="516267E6" w14:textId="77777777" w:rsidTr="00493084">
        <w:trPr>
          <w:trHeight w:val="2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BF5201F" w14:textId="77777777" w:rsidR="006A1DFB" w:rsidRPr="004B1EBD" w:rsidRDefault="006A1DFB" w:rsidP="00493084">
            <w:pPr>
              <w:suppressAutoHyphens/>
              <w:spacing w:before="40" w:after="40" w:line="228" w:lineRule="auto"/>
              <w:jc w:val="center"/>
              <w:rPr>
                <w:rFonts w:ascii="Arial Narrow" w:eastAsia="Times New Roman" w:hAnsi="Arial Narrow" w:cs="Arial Narrow"/>
                <w:b/>
                <w:i/>
                <w:color w:val="FFFFFF" w:themeColor="background1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i/>
                <w:color w:val="FFFFFF" w:themeColor="background1"/>
                <w:spacing w:val="-4"/>
                <w:lang w:eastAsia="pt-BR"/>
              </w:rPr>
              <w:t>Itens Financiáveis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25DE0494" w14:textId="77777777" w:rsidR="006A1DFB" w:rsidRPr="004B1EBD" w:rsidRDefault="006A1DFB" w:rsidP="00493084">
            <w:pPr>
              <w:suppressAutoHyphens/>
              <w:spacing w:before="40" w:after="40" w:line="228" w:lineRule="auto"/>
              <w:jc w:val="center"/>
              <w:rPr>
                <w:rFonts w:ascii="Arial Narrow" w:eastAsia="Times New Roman" w:hAnsi="Arial Narrow" w:cs="Arial Narrow"/>
                <w:b/>
                <w:i/>
                <w:color w:val="FFFFFF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i/>
                <w:color w:val="FFFFFF"/>
                <w:spacing w:val="-4"/>
                <w:lang w:eastAsia="pt-BR"/>
              </w:rPr>
              <w:t>Itens Não Financiáveis</w:t>
            </w:r>
          </w:p>
        </w:tc>
      </w:tr>
      <w:tr w:rsidR="006A1DFB" w:rsidRPr="004B1EBD" w14:paraId="1F05584D" w14:textId="77777777" w:rsidTr="00493084">
        <w:trPr>
          <w:trHeight w:val="2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738BCFE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Material de Consumo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66B73F54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Material de Consumo</w:t>
            </w:r>
          </w:p>
        </w:tc>
      </w:tr>
      <w:tr w:rsidR="006A1DFB" w:rsidRPr="004B1EBD" w14:paraId="6C14A1C2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195332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highlight w:val="red"/>
                <w:lang w:eastAsia="pt-BR"/>
              </w:rPr>
            </w:pP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05997B1C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Combustível;</w:t>
            </w:r>
          </w:p>
        </w:tc>
      </w:tr>
      <w:tr w:rsidR="006A1DFB" w:rsidRPr="004B1EBD" w14:paraId="14B58646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8E7F58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highlight w:val="red"/>
                <w:lang w:eastAsia="pt-BR"/>
              </w:rPr>
            </w:pP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6BB83426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Ornamentação e Floricultura;</w:t>
            </w:r>
          </w:p>
        </w:tc>
      </w:tr>
      <w:tr w:rsidR="006A1DFB" w:rsidRPr="004B1EBD" w14:paraId="103D58F4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ECF7A3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Pen drive exclusivamente para publicação dos anais.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27E4D147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Cofie break, coquetéis, café, água, biscoitos, refrigerantes, achocolatados, copos descartáveis;</w:t>
            </w:r>
          </w:p>
        </w:tc>
      </w:tr>
      <w:tr w:rsidR="006A1DFB" w:rsidRPr="004B1EBD" w14:paraId="13DAF0EA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8A390C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7DBB41DF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Brindes (pen drive, camiseta, bonés, canetas, canetas personalizadas, blocos e outros).</w:t>
            </w:r>
          </w:p>
        </w:tc>
      </w:tr>
      <w:tr w:rsidR="006A1DFB" w:rsidRPr="004B1EBD" w14:paraId="2F7EED9E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58FFDF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E5CF70F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</w:p>
        </w:tc>
      </w:tr>
      <w:tr w:rsidR="006A1DFB" w:rsidRPr="004B1EBD" w14:paraId="25411595" w14:textId="77777777" w:rsidTr="00493084">
        <w:trPr>
          <w:trHeight w:val="2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6E80D8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Serviços de Terceiros (Pessoa Jurídica)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3151AC05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Serviços de Terceiros (Pessoa Jurídica/Física)</w:t>
            </w:r>
          </w:p>
        </w:tc>
      </w:tr>
      <w:tr w:rsidR="006A1DFB" w:rsidRPr="004B1EBD" w14:paraId="1F8997AE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E5BFD5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Confecção de pastas e crachás;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24FD2BE4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Divulgação em Rádio, TV, Jornal e outros;</w:t>
            </w:r>
          </w:p>
        </w:tc>
      </w:tr>
      <w:tr w:rsidR="006A1DFB" w:rsidRPr="004B1EBD" w14:paraId="55F9E592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8CBD7B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Confecção de cartazes, banners e faixas de divulgação;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3E4E1EA1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 xml:space="preserve">Serviços de Recepcionistas, secretárias e </w:t>
            </w:r>
            <w:proofErr w:type="spellStart"/>
            <w:proofErr w:type="gramStart"/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estagiários;Concessão</w:t>
            </w:r>
            <w:proofErr w:type="spellEnd"/>
            <w:proofErr w:type="gramEnd"/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 xml:space="preserve"> de qualquer modalidade de bolsa.</w:t>
            </w:r>
          </w:p>
        </w:tc>
      </w:tr>
      <w:tr w:rsidR="006A1DFB" w:rsidRPr="004B1EBD" w14:paraId="776A2B82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E8FF22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Confecção de folders e/ou certificados;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7B90A72C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Pedágios;</w:t>
            </w:r>
          </w:p>
        </w:tc>
      </w:tr>
      <w:tr w:rsidR="006A1DFB" w:rsidRPr="004B1EBD" w14:paraId="2C64553A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14030D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Publicação de anais (revista e pen drive) e/ou resumos;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7DC5E80E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Revelação de filmes, Fotocópias;</w:t>
            </w:r>
          </w:p>
        </w:tc>
      </w:tr>
      <w:tr w:rsidR="006A1DFB" w:rsidRPr="004B1EBD" w14:paraId="5B1DB02F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265A87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Aluguel de equipamentos de multimídia, som e imagem;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7A6BB951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Shows e manifestações artísticas;</w:t>
            </w:r>
          </w:p>
          <w:p w14:paraId="11B1552F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Criação e manutenção de página na Internet;</w:t>
            </w:r>
          </w:p>
        </w:tc>
      </w:tr>
      <w:tr w:rsidR="006A1DFB" w:rsidRPr="004B1EBD" w14:paraId="3BCC0E5E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FCD930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Serviços de tradução;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2B24BF4F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Locação de auditório; Bens de capital, ou duráveis (equipamentos e material permanente).</w:t>
            </w:r>
          </w:p>
        </w:tc>
      </w:tr>
      <w:tr w:rsidR="006A1DFB" w:rsidRPr="004B1EBD" w14:paraId="1F99CF4F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500FBB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 xml:space="preserve">Locação de veículos como </w:t>
            </w:r>
            <w:proofErr w:type="gramStart"/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micro-ônibus</w:t>
            </w:r>
            <w:proofErr w:type="gramEnd"/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 xml:space="preserve">, vans ou ônibus. 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0783BC6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Consultorias, salários, honorários e pgto. de pró-labore; Pagamento de cachê ou similares para palestrante</w:t>
            </w:r>
          </w:p>
        </w:tc>
      </w:tr>
      <w:tr w:rsidR="006A1DFB" w:rsidRPr="004B1EBD" w14:paraId="46748240" w14:textId="77777777" w:rsidTr="00493084">
        <w:trPr>
          <w:trHeight w:val="2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AB2BBE6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Diárias e Ressarcimentos Nacionais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65DF66B8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Diárias e Ressarcimentos Nacionais</w:t>
            </w:r>
          </w:p>
        </w:tc>
      </w:tr>
      <w:tr w:rsidR="006A1DFB" w:rsidRPr="004B1EBD" w14:paraId="60214659" w14:textId="77777777" w:rsidTr="00493084">
        <w:trPr>
          <w:trHeight w:val="20"/>
          <w:jc w:val="center"/>
        </w:trPr>
        <w:tc>
          <w:tcPr>
            <w:tcW w:w="4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B5B02E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</w:p>
          <w:p w14:paraId="1B34DA3C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Hospedagem somente para palestrantes;</w:t>
            </w:r>
          </w:p>
          <w:p w14:paraId="55A4FDA5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Alimentação somente para palestrantes.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35A39894" w14:textId="77777777" w:rsidR="006A1DFB" w:rsidRPr="004B1EBD" w:rsidRDefault="006A1DFB" w:rsidP="00493084">
            <w:pPr>
              <w:suppressAutoHyphens/>
              <w:spacing w:before="40" w:after="40" w:line="228" w:lineRule="auto"/>
              <w:jc w:val="both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Com despesas com bebidas alcoólicas, gastos pessoais, tais como: cigarros, charutos, itens de higiene pessoal, vestuário, objetos de uso pessoal etc.</w:t>
            </w:r>
          </w:p>
        </w:tc>
      </w:tr>
      <w:tr w:rsidR="006A1DFB" w:rsidRPr="004B1EBD" w14:paraId="0A19C3F4" w14:textId="77777777" w:rsidTr="00493084">
        <w:trPr>
          <w:trHeight w:val="20"/>
          <w:jc w:val="center"/>
        </w:trPr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94A357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C4B26BC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Lavanderia, telefone e outros.</w:t>
            </w:r>
          </w:p>
        </w:tc>
      </w:tr>
      <w:tr w:rsidR="006A1DFB" w:rsidRPr="004B1EBD" w14:paraId="6ADF0C7C" w14:textId="77777777" w:rsidTr="00493084">
        <w:trPr>
          <w:trHeight w:val="2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97F3053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Passagens Nacionais e Internacionais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3F6D9AF9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b/>
                <w:color w:val="000000"/>
                <w:spacing w:val="-4"/>
                <w:lang w:eastAsia="pt-BR"/>
              </w:rPr>
              <w:t>Passagens Nacionais e Internacionais</w:t>
            </w:r>
          </w:p>
        </w:tc>
      </w:tr>
      <w:tr w:rsidR="006A1DFB" w:rsidRPr="004B1EBD" w14:paraId="6564EE2B" w14:textId="77777777" w:rsidTr="00493084">
        <w:trPr>
          <w:trHeight w:val="20"/>
          <w:jc w:val="center"/>
        </w:trPr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EEDC93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Passagens aéreas e terrestres para palestrantes.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9099B1" w14:textId="77777777" w:rsidR="006A1DFB" w:rsidRPr="004B1EBD" w:rsidRDefault="006A1DFB" w:rsidP="00493084">
            <w:pPr>
              <w:suppressAutoHyphens/>
              <w:spacing w:before="40" w:after="40" w:line="228" w:lineRule="auto"/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</w:pPr>
            <w:r w:rsidRPr="004B1EBD">
              <w:rPr>
                <w:rFonts w:ascii="Arial Narrow" w:eastAsia="Times New Roman" w:hAnsi="Arial Narrow" w:cs="Arial Narrow"/>
                <w:i/>
                <w:color w:val="000000"/>
                <w:spacing w:val="-4"/>
                <w:lang w:eastAsia="pt-BR"/>
              </w:rPr>
              <w:t>Taxi / Aplicativo de transporte privado urbano.</w:t>
            </w:r>
          </w:p>
        </w:tc>
      </w:tr>
    </w:tbl>
    <w:p w14:paraId="6C11E3C6" w14:textId="77777777" w:rsidR="006A1DFB" w:rsidRPr="004B1EBD" w:rsidRDefault="006A1DFB" w:rsidP="006A1DFB">
      <w:pPr>
        <w:suppressAutoHyphens/>
        <w:spacing w:before="40" w:after="40" w:line="228" w:lineRule="auto"/>
        <w:jc w:val="both"/>
        <w:rPr>
          <w:rFonts w:ascii="Arial Narrow" w:eastAsia="Times New Roman" w:hAnsi="Arial Narrow" w:cs="Arial Narrow"/>
          <w:i/>
          <w:color w:val="000000"/>
          <w:spacing w:val="-4"/>
          <w:lang w:eastAsia="pt-BR"/>
        </w:rPr>
      </w:pPr>
      <w:r w:rsidRPr="004B1EBD">
        <w:rPr>
          <w:rFonts w:ascii="Arial Narrow" w:eastAsia="Times New Roman" w:hAnsi="Arial Narrow" w:cs="Arial Narrow"/>
          <w:i/>
          <w:color w:val="000000"/>
          <w:spacing w:val="-4"/>
          <w:lang w:eastAsia="pt-BR"/>
        </w:rPr>
        <w:t xml:space="preserve">Observações: No caso de utilização de passagens aéreas, deverão ser encaminhados à Fundação Araucária os bilhetes das passagens; no caso de passagens terrestres, deverão ser apresentados somente os bilhetes utilizados. A comprovação de despesas com alimentação e hospedagem deverão vir acompanhadas de relação de nomes das pessoas beneficiadas e seus </w:t>
      </w:r>
      <w:proofErr w:type="spellStart"/>
      <w:r w:rsidRPr="004B1EBD">
        <w:rPr>
          <w:rFonts w:ascii="Arial Narrow" w:eastAsia="Times New Roman" w:hAnsi="Arial Narrow" w:cs="Arial Narrow"/>
          <w:i/>
          <w:color w:val="000000"/>
          <w:spacing w:val="-4"/>
          <w:lang w:eastAsia="pt-BR"/>
        </w:rPr>
        <w:t>RGs</w:t>
      </w:r>
      <w:proofErr w:type="spellEnd"/>
      <w:r w:rsidRPr="004B1EBD">
        <w:rPr>
          <w:rFonts w:ascii="Arial Narrow" w:eastAsia="Times New Roman" w:hAnsi="Arial Narrow" w:cs="Arial Narrow"/>
          <w:i/>
          <w:color w:val="000000"/>
          <w:spacing w:val="-4"/>
          <w:lang w:eastAsia="pt-BR"/>
        </w:rPr>
        <w:t>.</w:t>
      </w:r>
    </w:p>
    <w:bookmarkEnd w:id="0"/>
    <w:p w14:paraId="594AF6CC" w14:textId="17D9CE5D" w:rsidR="00C472FE" w:rsidRDefault="00C472FE" w:rsidP="006A1DFB">
      <w:pPr>
        <w:spacing w:before="40" w:after="40" w:line="228" w:lineRule="auto"/>
      </w:pPr>
    </w:p>
    <w:sectPr w:rsidR="00C472F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22F" w14:textId="77777777" w:rsidR="008E4A88" w:rsidRDefault="008E4A88" w:rsidP="006A1DFB">
      <w:pPr>
        <w:spacing w:after="0" w:line="240" w:lineRule="auto"/>
      </w:pPr>
      <w:r>
        <w:separator/>
      </w:r>
    </w:p>
  </w:endnote>
  <w:endnote w:type="continuationSeparator" w:id="0">
    <w:p w14:paraId="51A270CA" w14:textId="77777777" w:rsidR="008E4A88" w:rsidRDefault="008E4A88" w:rsidP="006A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00A8" w14:textId="77777777" w:rsidR="006A1DFB" w:rsidRPr="00B056DF" w:rsidRDefault="006A1DFB" w:rsidP="006A1DFB">
    <w:pPr>
      <w:pStyle w:val="Subttulo"/>
      <w:jc w:val="center"/>
      <w:rPr>
        <w:rFonts w:ascii="Arial Narrow" w:hAnsi="Arial Narrow" w:cs="Calibri"/>
        <w:b w:val="0"/>
        <w:i/>
        <w:sz w:val="20"/>
        <w:szCs w:val="20"/>
      </w:rPr>
    </w:pPr>
    <w:r w:rsidRPr="00B056DF">
      <w:rPr>
        <w:rFonts w:ascii="Arial Narrow" w:hAnsi="Arial Narrow" w:cs="Calibri"/>
        <w:b w:val="0"/>
        <w:i/>
        <w:sz w:val="20"/>
        <w:szCs w:val="20"/>
      </w:rPr>
      <w:t>www.FundacaoAraucaria.org.br</w:t>
    </w:r>
  </w:p>
  <w:p w14:paraId="1BEB5B43" w14:textId="77777777" w:rsidR="006A1DFB" w:rsidRDefault="006A1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7EBD" w14:textId="77777777" w:rsidR="008E4A88" w:rsidRDefault="008E4A88" w:rsidP="006A1DFB">
      <w:pPr>
        <w:spacing w:after="0" w:line="240" w:lineRule="auto"/>
      </w:pPr>
      <w:r>
        <w:separator/>
      </w:r>
    </w:p>
  </w:footnote>
  <w:footnote w:type="continuationSeparator" w:id="0">
    <w:p w14:paraId="12D1721B" w14:textId="77777777" w:rsidR="008E4A88" w:rsidRDefault="008E4A88" w:rsidP="006A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6004" w14:textId="77777777" w:rsidR="006A1DFB" w:rsidRDefault="006A1DFB" w:rsidP="006A1DFB">
    <w:pPr>
      <w:pStyle w:val="Cabealho"/>
      <w:jc w:val="center"/>
    </w:pPr>
    <w:bookmarkStart w:id="1" w:name="_Hlk89434484"/>
    <w:bookmarkStart w:id="2" w:name="_Hlk89434485"/>
    <w:r w:rsidRPr="002F48C6">
      <w:rPr>
        <w:noProof/>
        <w:lang w:eastAsia="pt-BR"/>
      </w:rPr>
      <w:drawing>
        <wp:inline distT="0" distB="0" distL="0" distR="0" wp14:anchorId="4BEBC4EB" wp14:editId="2EEE5672">
          <wp:extent cx="1440000" cy="568500"/>
          <wp:effectExtent l="0" t="0" r="8255" b="3175"/>
          <wp:docPr id="2" name="Imagem 1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68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5F654A99" w14:textId="77777777" w:rsidR="006A1DFB" w:rsidRDefault="006A1DFB" w:rsidP="006A1DFB">
    <w:pPr>
      <w:pStyle w:val="Cabealho"/>
      <w:jc w:val="center"/>
    </w:pPr>
  </w:p>
  <w:p w14:paraId="119D5729" w14:textId="77777777" w:rsidR="006A1DFB" w:rsidRDefault="006A1D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FB"/>
    <w:rsid w:val="006A1DFB"/>
    <w:rsid w:val="008E4A88"/>
    <w:rsid w:val="00C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695A"/>
  <w15:chartTrackingRefBased/>
  <w15:docId w15:val="{C3DDC26E-DD44-4661-98A8-D037DB0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D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6A1DF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A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DFB"/>
  </w:style>
  <w:style w:type="paragraph" w:customStyle="1" w:styleId="02topico">
    <w:name w:val="02_topico"/>
    <w:basedOn w:val="Normal"/>
    <w:link w:val="02topicoChar"/>
    <w:qFormat/>
    <w:rsid w:val="006A1DFB"/>
    <w:pPr>
      <w:suppressAutoHyphens/>
      <w:spacing w:before="200" w:after="100" w:line="240" w:lineRule="auto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eastAsia="pt-BR"/>
    </w:rPr>
  </w:style>
  <w:style w:type="character" w:customStyle="1" w:styleId="02topicoChar">
    <w:name w:val="02_topico Char"/>
    <w:link w:val="02topico"/>
    <w:rsid w:val="006A1DFB"/>
    <w:rPr>
      <w:rFonts w:ascii="Calibri" w:eastAsia="Times New Roman" w:hAnsi="Calibri" w:cs="Arial Narrow"/>
      <w:b/>
      <w:bCs/>
      <w:caps/>
      <w:color w:val="0070C0"/>
      <w:spacing w:val="-4"/>
      <w:szCs w:val="20"/>
      <w:lang w:eastAsia="pt-BR"/>
    </w:rPr>
  </w:style>
  <w:style w:type="paragraph" w:customStyle="1" w:styleId="01texto">
    <w:name w:val="01_texto"/>
    <w:basedOn w:val="Normal"/>
    <w:link w:val="01textoChar"/>
    <w:qFormat/>
    <w:rsid w:val="006A1DFB"/>
    <w:pPr>
      <w:suppressAutoHyphens/>
      <w:spacing w:before="60" w:after="60" w:line="216" w:lineRule="auto"/>
      <w:jc w:val="both"/>
    </w:pPr>
    <w:rPr>
      <w:rFonts w:ascii="Calibri" w:eastAsia="Times New Roman" w:hAnsi="Calibri" w:cs="Times New Roman"/>
      <w:color w:val="000000"/>
      <w:spacing w:val="-2"/>
      <w:szCs w:val="20"/>
    </w:rPr>
  </w:style>
  <w:style w:type="character" w:customStyle="1" w:styleId="01textoChar">
    <w:name w:val="01_texto Char"/>
    <w:link w:val="01texto"/>
    <w:rsid w:val="006A1DFB"/>
    <w:rPr>
      <w:rFonts w:ascii="Calibri" w:eastAsia="Times New Roman" w:hAnsi="Calibri" w:cs="Times New Roman"/>
      <w:color w:val="000000"/>
      <w:spacing w:val="-2"/>
      <w:szCs w:val="20"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6A1DFB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basedOn w:val="Fontepargpadro"/>
    <w:link w:val="Subttulo"/>
    <w:rsid w:val="006A1DFB"/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1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Bergamasco da Fontoura</dc:creator>
  <cp:keywords/>
  <dc:description/>
  <cp:lastModifiedBy>Gustavo Bergamasco da Fontoura</cp:lastModifiedBy>
  <cp:revision>1</cp:revision>
  <dcterms:created xsi:type="dcterms:W3CDTF">2021-12-03T17:29:00Z</dcterms:created>
  <dcterms:modified xsi:type="dcterms:W3CDTF">2021-12-03T17:36:00Z</dcterms:modified>
</cp:coreProperties>
</file>