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0BB" w:rsidRPr="00AD1456" w:rsidRDefault="000130BB" w:rsidP="000130BB">
      <w:pPr>
        <w:jc w:val="center"/>
        <w:rPr>
          <w:b/>
          <w:bCs/>
        </w:rPr>
      </w:pPr>
      <w:r>
        <w:rPr>
          <w:b/>
          <w:bCs/>
        </w:rPr>
        <w:t xml:space="preserve">Prazos </w:t>
      </w:r>
      <w:r w:rsidR="006E45AE">
        <w:rPr>
          <w:b/>
          <w:bCs/>
        </w:rPr>
        <w:t xml:space="preserve">e orientações </w:t>
      </w:r>
      <w:r>
        <w:rPr>
          <w:b/>
          <w:bCs/>
        </w:rPr>
        <w:t>para as Solicitações de Compra</w:t>
      </w:r>
    </w:p>
    <w:tbl>
      <w:tblPr>
        <w:tblW w:w="5265" w:type="pct"/>
        <w:jc w:val="center"/>
        <w:tblLayout w:type="fixed"/>
        <w:tblCellMar>
          <w:left w:w="57" w:type="dxa"/>
          <w:right w:w="57" w:type="dxa"/>
        </w:tblCellMar>
        <w:tblLook w:val="0000" w:firstRow="0" w:lastRow="0" w:firstColumn="0" w:lastColumn="0" w:noHBand="0" w:noVBand="0"/>
      </w:tblPr>
      <w:tblGrid>
        <w:gridCol w:w="4389"/>
        <w:gridCol w:w="5528"/>
        <w:gridCol w:w="1560"/>
        <w:gridCol w:w="1842"/>
        <w:gridCol w:w="1417"/>
      </w:tblGrid>
      <w:tr w:rsidR="0069512C" w:rsidRPr="00DA0D33" w:rsidTr="0069512C">
        <w:trPr>
          <w:trHeight w:val="20"/>
          <w:jc w:val="center"/>
        </w:trPr>
        <w:tc>
          <w:tcPr>
            <w:tcW w:w="4389" w:type="dxa"/>
            <w:tcBorders>
              <w:top w:val="single" w:sz="4" w:space="0" w:color="auto"/>
              <w:left w:val="single" w:sz="4" w:space="0" w:color="auto"/>
              <w:bottom w:val="single" w:sz="4" w:space="0" w:color="auto"/>
              <w:right w:val="single" w:sz="4" w:space="0" w:color="auto"/>
            </w:tcBorders>
            <w:shd w:val="clear" w:color="auto" w:fill="5B9BD5" w:themeFill="accent5"/>
            <w:vAlign w:val="center"/>
          </w:tcPr>
          <w:p w:rsidR="0069512C" w:rsidRPr="00DA0D33" w:rsidRDefault="0069512C" w:rsidP="00934FC2">
            <w:pPr>
              <w:suppressAutoHyphens/>
              <w:spacing w:before="60" w:after="60" w:line="228" w:lineRule="auto"/>
              <w:jc w:val="center"/>
              <w:rPr>
                <w:rFonts w:ascii="Californian FB" w:eastAsia="Times New Roman" w:hAnsi="Californian FB" w:cs="Arial Narrow"/>
                <w:b/>
                <w:i/>
                <w:color w:val="FFFFFF" w:themeColor="background1"/>
                <w:spacing w:val="-4"/>
                <w:sz w:val="20"/>
                <w:szCs w:val="20"/>
                <w:lang w:eastAsia="pt-BR"/>
              </w:rPr>
            </w:pPr>
            <w:r w:rsidRPr="00DA0D33">
              <w:rPr>
                <w:rFonts w:ascii="Californian FB" w:eastAsia="Times New Roman" w:hAnsi="Californian FB" w:cs="Arial Narrow"/>
                <w:b/>
                <w:i/>
                <w:color w:val="FFFFFF" w:themeColor="background1"/>
                <w:spacing w:val="-4"/>
                <w:sz w:val="20"/>
                <w:szCs w:val="20"/>
                <w:lang w:eastAsia="pt-BR"/>
              </w:rPr>
              <w:t>Itens Financiáveis</w:t>
            </w:r>
          </w:p>
        </w:tc>
        <w:tc>
          <w:tcPr>
            <w:tcW w:w="5528" w:type="dxa"/>
            <w:tcBorders>
              <w:top w:val="single" w:sz="4" w:space="0" w:color="auto"/>
              <w:left w:val="single" w:sz="4" w:space="0" w:color="auto"/>
              <w:bottom w:val="single" w:sz="4" w:space="0" w:color="auto"/>
              <w:right w:val="single" w:sz="4" w:space="0" w:color="auto"/>
            </w:tcBorders>
            <w:shd w:val="clear" w:color="auto" w:fill="C0504D"/>
          </w:tcPr>
          <w:p w:rsidR="0069512C" w:rsidRPr="00DA0D33" w:rsidRDefault="0069512C" w:rsidP="00934FC2">
            <w:pPr>
              <w:suppressAutoHyphens/>
              <w:spacing w:before="60" w:after="60" w:line="228" w:lineRule="auto"/>
              <w:jc w:val="center"/>
              <w:rPr>
                <w:rFonts w:ascii="Californian FB" w:eastAsia="Times New Roman" w:hAnsi="Californian FB" w:cs="Arial Narrow"/>
                <w:b/>
                <w:i/>
                <w:color w:val="FFFFFF"/>
                <w:spacing w:val="-4"/>
                <w:sz w:val="20"/>
                <w:szCs w:val="20"/>
                <w:lang w:eastAsia="pt-BR"/>
              </w:rPr>
            </w:pPr>
            <w:r w:rsidRPr="00DA0D33">
              <w:rPr>
                <w:rFonts w:ascii="Californian FB" w:eastAsia="Times New Roman" w:hAnsi="Californian FB" w:cs="Arial Narrow"/>
                <w:b/>
                <w:i/>
                <w:color w:val="FFFFFF"/>
                <w:spacing w:val="-4"/>
                <w:sz w:val="20"/>
                <w:szCs w:val="20"/>
                <w:lang w:eastAsia="pt-BR"/>
              </w:rPr>
              <w:t>Procedimentos para solicitação de compra</w:t>
            </w:r>
            <w:r w:rsidR="00DA0D33">
              <w:rPr>
                <w:rFonts w:ascii="Californian FB" w:eastAsia="Times New Roman" w:hAnsi="Californian FB" w:cs="Arial Narrow"/>
                <w:b/>
                <w:i/>
                <w:color w:val="FFFFFF"/>
                <w:spacing w:val="-4"/>
                <w:sz w:val="20"/>
                <w:szCs w:val="20"/>
                <w:lang w:eastAsia="pt-BR"/>
              </w:rPr>
              <w:t>/locação</w:t>
            </w:r>
          </w:p>
        </w:tc>
        <w:tc>
          <w:tcPr>
            <w:tcW w:w="1560" w:type="dxa"/>
            <w:tcBorders>
              <w:top w:val="single" w:sz="4" w:space="0" w:color="auto"/>
              <w:left w:val="single" w:sz="4" w:space="0" w:color="auto"/>
              <w:bottom w:val="single" w:sz="4" w:space="0" w:color="auto"/>
              <w:right w:val="single" w:sz="4" w:space="0" w:color="auto"/>
            </w:tcBorders>
            <w:shd w:val="clear" w:color="auto" w:fill="C0504D"/>
          </w:tcPr>
          <w:p w:rsidR="0069512C" w:rsidRPr="00DA0D33" w:rsidRDefault="0069512C" w:rsidP="00934FC2">
            <w:pPr>
              <w:suppressAutoHyphens/>
              <w:spacing w:before="60" w:after="60" w:line="228" w:lineRule="auto"/>
              <w:jc w:val="center"/>
              <w:rPr>
                <w:rFonts w:ascii="Californian FB" w:eastAsia="Times New Roman" w:hAnsi="Californian FB" w:cs="Arial Narrow"/>
                <w:b/>
                <w:i/>
                <w:color w:val="FFFFFF"/>
                <w:spacing w:val="-4"/>
                <w:sz w:val="20"/>
                <w:szCs w:val="20"/>
                <w:lang w:eastAsia="pt-BR"/>
              </w:rPr>
            </w:pPr>
            <w:r w:rsidRPr="00DA0D33">
              <w:rPr>
                <w:rFonts w:ascii="Californian FB" w:eastAsia="Times New Roman" w:hAnsi="Californian FB" w:cs="Arial Narrow"/>
                <w:b/>
                <w:i/>
                <w:color w:val="FFFFFF"/>
                <w:spacing w:val="-4"/>
                <w:sz w:val="20"/>
                <w:szCs w:val="20"/>
                <w:lang w:eastAsia="pt-BR"/>
              </w:rPr>
              <w:t>Quantidade do Item</w:t>
            </w:r>
          </w:p>
        </w:tc>
        <w:tc>
          <w:tcPr>
            <w:tcW w:w="1842" w:type="dxa"/>
            <w:tcBorders>
              <w:top w:val="single" w:sz="4" w:space="0" w:color="auto"/>
              <w:left w:val="single" w:sz="4" w:space="0" w:color="auto"/>
              <w:bottom w:val="single" w:sz="4" w:space="0" w:color="auto"/>
              <w:right w:val="single" w:sz="4" w:space="0" w:color="auto"/>
            </w:tcBorders>
            <w:shd w:val="clear" w:color="auto" w:fill="C0504D"/>
            <w:vAlign w:val="center"/>
          </w:tcPr>
          <w:p w:rsidR="0069512C" w:rsidRPr="00DA0D33" w:rsidRDefault="0069512C" w:rsidP="00934FC2">
            <w:pPr>
              <w:suppressAutoHyphens/>
              <w:spacing w:before="60" w:after="60" w:line="228" w:lineRule="auto"/>
              <w:jc w:val="center"/>
              <w:rPr>
                <w:rFonts w:ascii="Californian FB" w:eastAsia="Times New Roman" w:hAnsi="Californian FB" w:cs="Arial Narrow"/>
                <w:b/>
                <w:i/>
                <w:color w:val="FFFFFF"/>
                <w:spacing w:val="-4"/>
                <w:sz w:val="20"/>
                <w:szCs w:val="20"/>
                <w:lang w:eastAsia="pt-BR"/>
              </w:rPr>
            </w:pPr>
            <w:r w:rsidRPr="00DA0D33">
              <w:rPr>
                <w:rFonts w:ascii="Californian FB" w:eastAsia="Times New Roman" w:hAnsi="Californian FB" w:cs="Arial Narrow"/>
                <w:b/>
                <w:i/>
                <w:color w:val="FFFFFF"/>
                <w:spacing w:val="-4"/>
                <w:sz w:val="20"/>
                <w:szCs w:val="20"/>
                <w:lang w:eastAsia="pt-BR"/>
              </w:rPr>
              <w:t>Data da Solicitação (quanto tempo antes do evento acontecer)</w:t>
            </w:r>
          </w:p>
        </w:tc>
        <w:tc>
          <w:tcPr>
            <w:tcW w:w="1417" w:type="dxa"/>
            <w:tcBorders>
              <w:top w:val="single" w:sz="4" w:space="0" w:color="auto"/>
              <w:left w:val="single" w:sz="4" w:space="0" w:color="auto"/>
              <w:bottom w:val="single" w:sz="4" w:space="0" w:color="auto"/>
              <w:right w:val="single" w:sz="4" w:space="0" w:color="auto"/>
            </w:tcBorders>
            <w:shd w:val="clear" w:color="auto" w:fill="C0504D"/>
          </w:tcPr>
          <w:p w:rsidR="0069512C" w:rsidRPr="00DA0D33" w:rsidRDefault="0069512C" w:rsidP="00934FC2">
            <w:pPr>
              <w:suppressAutoHyphens/>
              <w:spacing w:before="60" w:after="60" w:line="228" w:lineRule="auto"/>
              <w:jc w:val="center"/>
              <w:rPr>
                <w:rFonts w:ascii="Californian FB" w:eastAsia="Times New Roman" w:hAnsi="Californian FB" w:cs="Arial Narrow"/>
                <w:b/>
                <w:i/>
                <w:color w:val="FFFFFF"/>
                <w:spacing w:val="-4"/>
                <w:sz w:val="20"/>
                <w:szCs w:val="20"/>
                <w:lang w:eastAsia="pt-BR"/>
              </w:rPr>
            </w:pPr>
            <w:r w:rsidRPr="00DA0D33">
              <w:rPr>
                <w:rFonts w:ascii="Californian FB" w:eastAsia="Times New Roman" w:hAnsi="Californian FB" w:cs="Arial Narrow"/>
                <w:b/>
                <w:i/>
                <w:color w:val="FFFFFF"/>
                <w:spacing w:val="-4"/>
                <w:sz w:val="20"/>
                <w:szCs w:val="20"/>
                <w:lang w:eastAsia="pt-BR"/>
              </w:rPr>
              <w:t>Data da Execução</w:t>
            </w:r>
          </w:p>
        </w:tc>
      </w:tr>
      <w:tr w:rsidR="0069512C"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Material de Consumo</w:t>
            </w:r>
          </w:p>
        </w:tc>
        <w:tc>
          <w:tcPr>
            <w:tcW w:w="5528"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560"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69512C" w:rsidRPr="00DA0D33" w:rsidTr="0069512C">
        <w:trPr>
          <w:trHeight w:val="20"/>
          <w:jc w:val="center"/>
        </w:trPr>
        <w:tc>
          <w:tcPr>
            <w:tcW w:w="4389" w:type="dxa"/>
            <w:tcBorders>
              <w:left w:val="single" w:sz="4" w:space="0" w:color="auto"/>
              <w:right w:val="single" w:sz="4" w:space="0" w:color="auto"/>
            </w:tcBorders>
            <w:shd w:val="clear" w:color="auto" w:fill="DEEAF6" w:themeFill="accent5" w:themeFillTint="33"/>
          </w:tcPr>
          <w:p w:rsidR="0069512C" w:rsidRPr="00DA0D33" w:rsidRDefault="0069512C" w:rsidP="002D596A">
            <w:pPr>
              <w:suppressAutoHyphens/>
              <w:spacing w:before="60" w:after="60" w:line="228" w:lineRule="auto"/>
              <w:rPr>
                <w:rFonts w:ascii="Californian FB" w:eastAsia="Times New Roman" w:hAnsi="Californian FB" w:cs="Arial Narrow"/>
                <w:iCs/>
                <w:color w:val="000000"/>
                <w:spacing w:val="-4"/>
                <w:sz w:val="20"/>
                <w:szCs w:val="20"/>
                <w:lang w:eastAsia="pt-BR"/>
              </w:rPr>
            </w:pPr>
            <w:r w:rsidRPr="00DA0D33">
              <w:rPr>
                <w:rFonts w:ascii="Californian FB" w:eastAsia="Times New Roman" w:hAnsi="Californian FB" w:cs="Arial Narrow"/>
                <w:iCs/>
                <w:color w:val="000000"/>
                <w:spacing w:val="-4"/>
                <w:sz w:val="20"/>
                <w:szCs w:val="20"/>
                <w:lang w:eastAsia="pt-BR"/>
              </w:rPr>
              <w:t>Pen drive exclusivamente para publicação dos anais.</w:t>
            </w:r>
          </w:p>
        </w:tc>
        <w:tc>
          <w:tcPr>
            <w:tcW w:w="5528" w:type="dxa"/>
            <w:tcBorders>
              <w:left w:val="single" w:sz="4" w:space="0" w:color="auto"/>
              <w:right w:val="single" w:sz="4" w:space="0" w:color="auto"/>
            </w:tcBorders>
            <w:shd w:val="clear" w:color="auto" w:fill="F2DBDB"/>
          </w:tcPr>
          <w:p w:rsidR="0069512C" w:rsidRPr="00DA0D33" w:rsidRDefault="0069512C" w:rsidP="002D596A">
            <w:pPr>
              <w:suppressAutoHyphens/>
              <w:spacing w:before="60" w:after="60" w:line="228" w:lineRule="auto"/>
              <w:rPr>
                <w:rFonts w:ascii="Californian FB" w:eastAsia="Times New Roman" w:hAnsi="Californian FB" w:cs="Arial Narrow"/>
                <w:iCs/>
                <w:color w:val="000000"/>
                <w:spacing w:val="-4"/>
                <w:sz w:val="20"/>
                <w:szCs w:val="20"/>
                <w:lang w:eastAsia="pt-BR"/>
              </w:rPr>
            </w:pPr>
            <w:r w:rsidRPr="00DA0D33">
              <w:rPr>
                <w:rFonts w:ascii="Californian FB" w:eastAsia="Times New Roman" w:hAnsi="Californian FB" w:cs="Arial Narrow"/>
                <w:iCs/>
                <w:color w:val="000000"/>
                <w:spacing w:val="-4"/>
                <w:sz w:val="20"/>
                <w:szCs w:val="20"/>
                <w:lang w:eastAsia="pt-BR"/>
              </w:rPr>
              <w:t xml:space="preserve">Encaminhar solicitação </w:t>
            </w:r>
            <w:r w:rsidR="001633F4" w:rsidRPr="00DA0D33">
              <w:rPr>
                <w:rFonts w:ascii="Californian FB" w:eastAsia="Times New Roman" w:hAnsi="Californian FB" w:cs="Arial Narrow"/>
                <w:iCs/>
                <w:color w:val="000000"/>
                <w:spacing w:val="-4"/>
                <w:sz w:val="20"/>
                <w:szCs w:val="20"/>
                <w:lang w:eastAsia="pt-BR"/>
              </w:rPr>
              <w:t xml:space="preserve">de aquisição do item </w:t>
            </w:r>
            <w:r w:rsidRPr="00DA0D33">
              <w:rPr>
                <w:rFonts w:ascii="Californian FB" w:eastAsia="Times New Roman" w:hAnsi="Californian FB" w:cs="Arial Narrow"/>
                <w:iCs/>
                <w:color w:val="000000"/>
                <w:spacing w:val="-4"/>
                <w:sz w:val="20"/>
                <w:szCs w:val="20"/>
                <w:lang w:eastAsia="pt-BR"/>
              </w:rPr>
              <w:t xml:space="preserve">contendo: as características </w:t>
            </w:r>
            <w:r w:rsidR="001633F4" w:rsidRPr="00DA0D33">
              <w:rPr>
                <w:rFonts w:ascii="Californian FB" w:eastAsia="Times New Roman" w:hAnsi="Californian FB" w:cs="Arial Narrow"/>
                <w:iCs/>
                <w:color w:val="000000"/>
                <w:spacing w:val="-4"/>
                <w:sz w:val="20"/>
                <w:szCs w:val="20"/>
                <w:lang w:eastAsia="pt-BR"/>
              </w:rPr>
              <w:t>como:</w:t>
            </w:r>
            <w:r w:rsidRPr="00DA0D33">
              <w:rPr>
                <w:rFonts w:ascii="Californian FB" w:eastAsia="Times New Roman" w:hAnsi="Californian FB" w:cs="Arial Narrow"/>
                <w:iCs/>
                <w:color w:val="000000"/>
                <w:spacing w:val="-4"/>
                <w:sz w:val="20"/>
                <w:szCs w:val="20"/>
                <w:lang w:eastAsia="pt-BR"/>
              </w:rPr>
              <w:t xml:space="preserve"> Capacidade de armazenamento máximo em </w:t>
            </w:r>
            <w:proofErr w:type="spellStart"/>
            <w:r w:rsidRPr="00DA0D33">
              <w:rPr>
                <w:rFonts w:ascii="Californian FB" w:eastAsia="Times New Roman" w:hAnsi="Californian FB" w:cs="Arial Narrow"/>
                <w:iCs/>
                <w:color w:val="000000"/>
                <w:spacing w:val="-4"/>
                <w:sz w:val="20"/>
                <w:szCs w:val="20"/>
                <w:lang w:eastAsia="pt-BR"/>
              </w:rPr>
              <w:t>Gigabayte</w:t>
            </w:r>
            <w:proofErr w:type="spellEnd"/>
            <w:r w:rsidRPr="00DA0D33">
              <w:rPr>
                <w:rFonts w:ascii="Californian FB" w:eastAsia="Times New Roman" w:hAnsi="Californian FB" w:cs="Arial Narrow"/>
                <w:iCs/>
                <w:color w:val="000000"/>
                <w:spacing w:val="-4"/>
                <w:sz w:val="20"/>
                <w:szCs w:val="20"/>
                <w:lang w:eastAsia="pt-BR"/>
              </w:rPr>
              <w:t>/GB</w:t>
            </w:r>
          </w:p>
        </w:tc>
        <w:tc>
          <w:tcPr>
            <w:tcW w:w="1560" w:type="dxa"/>
            <w:tcBorders>
              <w:left w:val="single" w:sz="4" w:space="0" w:color="auto"/>
              <w:right w:val="single" w:sz="4" w:space="0" w:color="auto"/>
            </w:tcBorders>
            <w:shd w:val="clear" w:color="auto" w:fill="F2DBDB"/>
          </w:tcPr>
          <w:p w:rsidR="0069512C" w:rsidRPr="00DA0D33" w:rsidRDefault="0069512C" w:rsidP="002D596A">
            <w:pPr>
              <w:suppressAutoHyphens/>
              <w:spacing w:before="60" w:after="60" w:line="228" w:lineRule="auto"/>
              <w:rPr>
                <w:rFonts w:ascii="Californian FB" w:eastAsia="Times New Roman" w:hAnsi="Californian FB" w:cs="Arial Narrow"/>
                <w:i/>
                <w:color w:val="000000"/>
                <w:spacing w:val="-4"/>
                <w:sz w:val="20"/>
                <w:szCs w:val="20"/>
                <w:lang w:eastAsia="pt-BR"/>
              </w:rPr>
            </w:pPr>
          </w:p>
        </w:tc>
        <w:tc>
          <w:tcPr>
            <w:tcW w:w="1842" w:type="dxa"/>
            <w:tcBorders>
              <w:left w:val="single" w:sz="4" w:space="0" w:color="auto"/>
              <w:right w:val="single" w:sz="4" w:space="0" w:color="auto"/>
            </w:tcBorders>
            <w:shd w:val="clear" w:color="auto" w:fill="F2DBDB"/>
          </w:tcPr>
          <w:p w:rsidR="0069512C" w:rsidRPr="00DA0D33" w:rsidRDefault="0069512C" w:rsidP="002D596A">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20 dias de antecedência</w:t>
            </w:r>
          </w:p>
        </w:tc>
        <w:tc>
          <w:tcPr>
            <w:tcW w:w="1417" w:type="dxa"/>
            <w:tcBorders>
              <w:left w:val="single" w:sz="4" w:space="0" w:color="auto"/>
              <w:right w:val="single" w:sz="4" w:space="0" w:color="auto"/>
            </w:tcBorders>
            <w:shd w:val="clear" w:color="auto" w:fill="F2DBDB"/>
          </w:tcPr>
          <w:p w:rsidR="0069512C" w:rsidRPr="00DA0D33" w:rsidRDefault="0069512C" w:rsidP="002D596A">
            <w:pPr>
              <w:suppressAutoHyphens/>
              <w:spacing w:before="60" w:after="60" w:line="228" w:lineRule="auto"/>
              <w:rPr>
                <w:rFonts w:ascii="Californian FB" w:eastAsia="Times New Roman" w:hAnsi="Californian FB" w:cs="Arial Narrow"/>
                <w:i/>
                <w:color w:val="000000"/>
                <w:spacing w:val="-4"/>
                <w:sz w:val="20"/>
                <w:szCs w:val="20"/>
                <w:lang w:eastAsia="pt-BR"/>
              </w:rPr>
            </w:pPr>
          </w:p>
        </w:tc>
      </w:tr>
      <w:tr w:rsidR="0069512C"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Serviços de Terceiros (Pessoa Jurídica)</w:t>
            </w:r>
          </w:p>
        </w:tc>
        <w:tc>
          <w:tcPr>
            <w:tcW w:w="5528"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560"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69512C"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69512C" w:rsidRPr="00DA0D33" w:rsidRDefault="0069512C" w:rsidP="002D596A">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Confecção de material gráfico I</w:t>
            </w:r>
          </w:p>
        </w:tc>
        <w:tc>
          <w:tcPr>
            <w:tcW w:w="5528"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Cs/>
                <w:color w:val="000000"/>
                <w:spacing w:val="-4"/>
                <w:sz w:val="20"/>
                <w:szCs w:val="20"/>
                <w:lang w:eastAsia="pt-BR"/>
              </w:rPr>
            </w:pPr>
            <w:r w:rsidRPr="00DA0D33">
              <w:rPr>
                <w:rFonts w:ascii="Californian FB" w:eastAsia="Times New Roman" w:hAnsi="Californian FB" w:cs="Arial Narrow"/>
                <w:bCs/>
                <w:color w:val="000000"/>
                <w:spacing w:val="-4"/>
                <w:sz w:val="20"/>
                <w:szCs w:val="20"/>
                <w:lang w:eastAsia="pt-BR"/>
              </w:rPr>
              <w:t>Encaminhar solicita</w:t>
            </w:r>
            <w:r w:rsidR="001633F4" w:rsidRPr="00DA0D33">
              <w:rPr>
                <w:rFonts w:ascii="Californian FB" w:eastAsia="Times New Roman" w:hAnsi="Californian FB" w:cs="Arial Narrow"/>
                <w:bCs/>
                <w:color w:val="000000"/>
                <w:spacing w:val="-4"/>
                <w:sz w:val="20"/>
                <w:szCs w:val="20"/>
                <w:lang w:eastAsia="pt-BR"/>
              </w:rPr>
              <w:t>ção</w:t>
            </w:r>
            <w:r w:rsidRPr="00DA0D33">
              <w:rPr>
                <w:rFonts w:ascii="Californian FB" w:eastAsia="Times New Roman" w:hAnsi="Californian FB" w:cs="Arial Narrow"/>
                <w:bCs/>
                <w:color w:val="000000"/>
                <w:spacing w:val="-4"/>
                <w:sz w:val="20"/>
                <w:szCs w:val="20"/>
                <w:lang w:eastAsia="pt-BR"/>
              </w:rPr>
              <w:t xml:space="preserve"> </w:t>
            </w:r>
            <w:r w:rsidR="001633F4" w:rsidRPr="00DA0D33">
              <w:rPr>
                <w:rFonts w:ascii="Californian FB" w:eastAsia="Times New Roman" w:hAnsi="Californian FB" w:cs="Arial Narrow"/>
                <w:bCs/>
                <w:color w:val="000000"/>
                <w:spacing w:val="-4"/>
                <w:sz w:val="20"/>
                <w:szCs w:val="20"/>
                <w:lang w:eastAsia="pt-BR"/>
              </w:rPr>
              <w:t>de</w:t>
            </w:r>
            <w:r w:rsidRPr="00DA0D33">
              <w:rPr>
                <w:rFonts w:ascii="Californian FB" w:eastAsia="Times New Roman" w:hAnsi="Californian FB" w:cs="Arial Narrow"/>
                <w:bCs/>
                <w:color w:val="000000"/>
                <w:spacing w:val="-4"/>
                <w:sz w:val="20"/>
                <w:szCs w:val="20"/>
                <w:lang w:eastAsia="pt-BR"/>
              </w:rPr>
              <w:t xml:space="preserve"> execução do serviço, contendo</w:t>
            </w:r>
            <w:r w:rsidR="001633F4" w:rsidRPr="00DA0D33">
              <w:rPr>
                <w:rFonts w:ascii="Californian FB" w:eastAsia="Times New Roman" w:hAnsi="Californian FB" w:cs="Arial Narrow"/>
                <w:bCs/>
                <w:color w:val="000000"/>
                <w:spacing w:val="-4"/>
                <w:sz w:val="20"/>
                <w:szCs w:val="20"/>
                <w:lang w:eastAsia="pt-BR"/>
              </w:rPr>
              <w:t xml:space="preserve"> entre outros</w:t>
            </w:r>
            <w:r w:rsidRPr="00DA0D33">
              <w:rPr>
                <w:rFonts w:ascii="Californian FB" w:eastAsia="Times New Roman" w:hAnsi="Californian FB" w:cs="Arial Narrow"/>
                <w:bCs/>
                <w:color w:val="000000"/>
                <w:spacing w:val="-4"/>
                <w:sz w:val="20"/>
                <w:szCs w:val="20"/>
                <w:lang w:eastAsia="pt-BR"/>
              </w:rPr>
              <w:t xml:space="preserve"> o tipo de material a ser utilizado na impressão, quantas faces (se é frente e verso ou não) a arte, medida (Altura X Largura)</w:t>
            </w:r>
          </w:p>
        </w:tc>
        <w:tc>
          <w:tcPr>
            <w:tcW w:w="1560"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69512C" w:rsidRPr="00DA0D33" w:rsidRDefault="0069512C" w:rsidP="002D596A">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Pastas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pasta personalizada em papel triplex de 250 gramas, 4 x 0 cores, nas medidas de 32 x 23,5 cm (fechado), com uma dobra, com bolso interno colado, laminação fosca 1 x 0,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Crachás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crachá personalizado em papel triplex 250 gramas, com impressão em até 04 cores (só frente), nas medidas de 09 x 13 cm, com acabamento furado e barbante instalado.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Cartazes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Cartaz impresso em papel couchê brilho, 250 gramas, em até 04 cores, nas medidas mínimas de 45 x 31 cm,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Folders e/ou certificados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folder colorido, 4x4 cores, impresso frente e verso em papel couchê liso de alto brilho, gramatura de 115/150 gramas. Com medidas de 44 x 22 cm, e 03 dobras,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69512C"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69512C" w:rsidRPr="00DA0D33" w:rsidRDefault="0069512C" w:rsidP="00B27C55">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Confecção de material gráfico II</w:t>
            </w:r>
          </w:p>
        </w:tc>
        <w:tc>
          <w:tcPr>
            <w:tcW w:w="5528"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Cs/>
                <w:color w:val="000000"/>
                <w:spacing w:val="-4"/>
                <w:sz w:val="20"/>
                <w:szCs w:val="20"/>
                <w:lang w:eastAsia="pt-BR"/>
              </w:rPr>
            </w:pPr>
            <w:r w:rsidRPr="00DA0D33">
              <w:rPr>
                <w:rFonts w:ascii="Californian FB" w:eastAsia="Times New Roman" w:hAnsi="Californian FB" w:cs="Arial Narrow"/>
                <w:bCs/>
                <w:color w:val="000000"/>
                <w:spacing w:val="-4"/>
                <w:sz w:val="20"/>
                <w:szCs w:val="20"/>
                <w:lang w:eastAsia="pt-BR"/>
              </w:rPr>
              <w:t>Encaminhar memorando solicitando a execução do serviço, contendo o tipo de material a ser utilizado na impressão, quantas faces (se é frente e verso ou não) a arte, medida (Altura X Largura)</w:t>
            </w:r>
          </w:p>
        </w:tc>
        <w:tc>
          <w:tcPr>
            <w:tcW w:w="1560"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lastRenderedPageBreak/>
              <w:t>Confecção de faixas de divulgação;</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FAIXA de divulgação. Impressão colorida, em material lona, contendo estrutura para sustentação (madeira tipo cabo de vassoura), ponteira em PVC e no mínimo 16 metros de corda de nylon para fixação (04 metros em cada ponta). Altura 60 cm,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Confecção de banners;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Encaminhar solicitação de confecção de banner, impressão colorida digital em lona, gramatura mínima de 440 g/m², contendo estrutura para sustentação de madeira tipo cabo de vassoura, com ponteira em PVC e no mínimo 16 metros de corda de nylon para fixação (04 metros em cada ponta), tamanho calculado em metros quadrados, a arte deve ser providenciada pelo solicitante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Publicação anais (revista e pen drive) e/ou resumos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contratação de serviços de elaboração e reprodução de mídias para anais de eventos, </w:t>
            </w:r>
            <w:r w:rsidRPr="00DA0D33">
              <w:rPr>
                <w:rFonts w:ascii="Californian FB" w:hAnsi="Californian FB"/>
                <w:sz w:val="20"/>
                <w:szCs w:val="20"/>
              </w:rPr>
              <w:t>Criação e reprodução de mídia, inserção de conteúdo para Anais de Eventos Científicos a arte dos logos e o layout devem ser fornecidas pelo solicitante</w:t>
            </w:r>
          </w:p>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69512C"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69512C" w:rsidRPr="00DA0D33" w:rsidRDefault="0069512C" w:rsidP="00B27C55">
            <w:pPr>
              <w:suppressAutoHyphens/>
              <w:spacing w:before="60" w:after="60" w:line="228" w:lineRule="auto"/>
              <w:rPr>
                <w:rFonts w:ascii="Californian FB" w:eastAsia="Times New Roman" w:hAnsi="Californian FB" w:cs="Arial Narrow"/>
                <w:b/>
                <w:bCs/>
                <w:iCs/>
                <w:color w:val="000000"/>
                <w:spacing w:val="-4"/>
                <w:sz w:val="20"/>
                <w:szCs w:val="20"/>
                <w:lang w:eastAsia="pt-BR"/>
              </w:rPr>
            </w:pPr>
            <w:r w:rsidRPr="00DA0D33">
              <w:rPr>
                <w:rFonts w:ascii="Californian FB" w:eastAsia="Times New Roman" w:hAnsi="Californian FB" w:cs="Arial Narrow"/>
                <w:b/>
                <w:bCs/>
                <w:iCs/>
                <w:color w:val="000000"/>
                <w:spacing w:val="-4"/>
                <w:sz w:val="20"/>
                <w:szCs w:val="20"/>
                <w:lang w:eastAsia="pt-BR"/>
              </w:rPr>
              <w:t>Aluguel de equipamentos</w:t>
            </w:r>
          </w:p>
        </w:tc>
        <w:tc>
          <w:tcPr>
            <w:tcW w:w="5528" w:type="dxa"/>
            <w:tcBorders>
              <w:top w:val="single" w:sz="4" w:space="0" w:color="auto"/>
              <w:left w:val="single" w:sz="4" w:space="0" w:color="auto"/>
              <w:right w:val="single" w:sz="4" w:space="0" w:color="auto"/>
            </w:tcBorders>
            <w:shd w:val="clear" w:color="auto" w:fill="E5B8B7"/>
          </w:tcPr>
          <w:p w:rsidR="0069512C" w:rsidRPr="00DA0D33" w:rsidRDefault="0069512C" w:rsidP="006B0A28">
            <w:pPr>
              <w:suppressAutoHyphens/>
              <w:spacing w:after="0" w:line="240" w:lineRule="auto"/>
              <w:rPr>
                <w:rFonts w:ascii="Californian FB" w:hAnsi="Californian FB"/>
                <w:sz w:val="20"/>
                <w:szCs w:val="20"/>
              </w:rPr>
            </w:pPr>
          </w:p>
        </w:tc>
        <w:tc>
          <w:tcPr>
            <w:tcW w:w="1560"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69512C" w:rsidRPr="00DA0D33" w:rsidRDefault="0069512C" w:rsidP="00B27C55">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 xml:space="preserve">multimídia, </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after="0" w:line="240" w:lineRule="auto"/>
              <w:rPr>
                <w:rFonts w:ascii="Californian FB" w:eastAsia="Times New Roman" w:hAnsi="Californian FB" w:cs="Arial Narrow"/>
                <w:bCs/>
                <w:color w:val="000000"/>
                <w:spacing w:val="-4"/>
                <w:sz w:val="20"/>
                <w:szCs w:val="20"/>
                <w:lang w:eastAsia="pt-BR"/>
              </w:rPr>
            </w:pPr>
            <w:r w:rsidRPr="00DA0D33">
              <w:rPr>
                <w:rFonts w:ascii="Californian FB" w:hAnsi="Californian FB"/>
                <w:sz w:val="20"/>
                <w:szCs w:val="20"/>
              </w:rPr>
              <w:t>Encaminhar solicitação de locação de equipamento multimídia com no mínimo:</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Compatibilidade de sinal: VGA, SVGA, XGA;</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Compatibilidade de vídeo: NTSC, PAL-M, PAL-N e SECAM;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Fonte de luz: de 165 watts ou maior, com duração mínima de 2.000 horas (alta luminosidade) e 3000 horas (baixa luminosidade);</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Formato da imagem: 4:3;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Lente de projeção com ajuste de zoom e foco;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Métodos de projeção: frontal, retroprojeção e teto;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Relação de contraste: mínimo de 400:1;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Resolução nativa: SVGA (800x600) ou superior;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Tecnologia: LCD ou DLP.</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Conexão: computador analógico (VGA - conector D-SUB15), S-vídeo e/ou RCA;</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lastRenderedPageBreak/>
              <w:t xml:space="preserve">Configuração da imagem: conexão e projeção com sincronização automática e tracking, posicionamento, detector de fonte e detector de nível de contraste automático;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Controle Remoto;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Correção </w:t>
            </w:r>
            <w:proofErr w:type="spellStart"/>
            <w:r w:rsidRPr="00DA0D33">
              <w:rPr>
                <w:rFonts w:ascii="Californian FB" w:hAnsi="Californian FB"/>
                <w:sz w:val="20"/>
                <w:szCs w:val="20"/>
              </w:rPr>
              <w:t>trapezóide</w:t>
            </w:r>
            <w:proofErr w:type="spellEnd"/>
            <w:r w:rsidRPr="00DA0D33">
              <w:rPr>
                <w:rFonts w:ascii="Californian FB" w:hAnsi="Californian FB"/>
                <w:sz w:val="20"/>
                <w:szCs w:val="20"/>
              </w:rPr>
              <w:t xml:space="preserve"> digital. Brilho: mínimo de 2.000 ANSI lumens; Reprodução de cores: 16,7 milhões de cores;</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Saída para monitor VGA conector de 15 pinos (D-SUB15), deverá possibilitar exibição simultânea projetor e monitor.</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Controle remoto com pilhas.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maleta de transporte.</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cabo VGA.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 xml:space="preserve">cabo S-Vídeo e/ou RCA. </w:t>
            </w:r>
          </w:p>
          <w:p w:rsidR="00DA0D33" w:rsidRPr="00DA0D33" w:rsidRDefault="00DA0D33" w:rsidP="00DA0D33">
            <w:pPr>
              <w:suppressAutoHyphens/>
              <w:spacing w:after="0" w:line="240" w:lineRule="auto"/>
              <w:rPr>
                <w:rFonts w:ascii="Californian FB" w:hAnsi="Californian FB"/>
                <w:sz w:val="20"/>
                <w:szCs w:val="20"/>
              </w:rPr>
            </w:pPr>
            <w:r w:rsidRPr="00DA0D33">
              <w:rPr>
                <w:rFonts w:ascii="Californian FB" w:hAnsi="Californian FB"/>
                <w:sz w:val="20"/>
                <w:szCs w:val="20"/>
              </w:rPr>
              <w:t>Cabo de alimentação de energia elétrica com plugue universal (padrão antigo) com adaptador para o novo padrão Brasil de tomadas (norma ABNT NBR 14136) ou Cabo de alimentação de energia elétrica com plugue no novo padrão Brasil (norma ABNT NBR 14136) com adaptador para tomada no padrão universal (padrão antigo).</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Som</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Encaminhar solicitação de locação de sonorização, com no mínimo:</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PA contendo os seguintes itens: 04 caixas de som médio L/R; 02 caixas de som grave L/R; 03 potências e equalizadores. </w:t>
            </w:r>
          </w:p>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 xml:space="preserve">Estrutura de sonorização para palco, contendo os seguintes itens: 02 microfones sem fio; 08 microfones com pedestais; 05 retornos com vias individuais (mínimo de 04 retornos); 01 máquina de fumaça; 01 mesa de som com pelo menos 24 canais com </w:t>
            </w:r>
            <w:proofErr w:type="spellStart"/>
            <w:r w:rsidRPr="00DA0D33">
              <w:rPr>
                <w:rFonts w:ascii="Californian FB" w:hAnsi="Californian FB"/>
                <w:sz w:val="20"/>
                <w:szCs w:val="20"/>
              </w:rPr>
              <w:t>multicabo</w:t>
            </w:r>
            <w:proofErr w:type="spellEnd"/>
            <w:r w:rsidRPr="00DA0D33">
              <w:rPr>
                <w:rFonts w:ascii="Californian FB" w:hAnsi="Californian FB"/>
                <w:sz w:val="20"/>
                <w:szCs w:val="20"/>
              </w:rPr>
              <w:t xml:space="preserve">; 01 amplificador - baixo; 01 operador/técnico; 01 notebook ou CDJ; 03 direct box; 02 vias input 127v AC. Bateria: 01 (uma) bateria do tipo RMV, PEARL, YAMAHA ou similar completa, contendo os seguintes itens: 01 (uma) máquina de </w:t>
            </w:r>
            <w:proofErr w:type="spellStart"/>
            <w:r w:rsidRPr="00DA0D33">
              <w:rPr>
                <w:rFonts w:ascii="Californian FB" w:hAnsi="Californian FB"/>
                <w:sz w:val="20"/>
                <w:szCs w:val="20"/>
              </w:rPr>
              <w:t>chimbal</w:t>
            </w:r>
            <w:proofErr w:type="spellEnd"/>
            <w:r w:rsidRPr="00DA0D33">
              <w:rPr>
                <w:rFonts w:ascii="Californian FB" w:hAnsi="Californian FB"/>
                <w:sz w:val="20"/>
                <w:szCs w:val="20"/>
              </w:rPr>
              <w:t xml:space="preserve">; 01 (um) banco regulável; 01 (uma) estante de caixa; 01 (um) pedal de bumbo; 03 (três) estantes de prato; 01 (um) praticável p/ bateria de 2,50 m x 2,00 m; 01 (um) kit completo de microfones p/ bateria, marca </w:t>
            </w:r>
            <w:proofErr w:type="spellStart"/>
            <w:r w:rsidRPr="00DA0D33">
              <w:rPr>
                <w:rFonts w:ascii="Californian FB" w:hAnsi="Californian FB"/>
                <w:sz w:val="20"/>
                <w:szCs w:val="20"/>
              </w:rPr>
              <w:t>Shure</w:t>
            </w:r>
            <w:proofErr w:type="spellEnd"/>
            <w:r w:rsidRPr="00DA0D33">
              <w:rPr>
                <w:rFonts w:ascii="Californian FB" w:hAnsi="Californian FB"/>
                <w:sz w:val="20"/>
                <w:szCs w:val="20"/>
              </w:rPr>
              <w:t xml:space="preserve"> ou similar, e cabeamento condizente com o equipamento descrito Som para um público estimado de 2.000 pessoas (período manhã/tarde/noite)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lastRenderedPageBreak/>
              <w:t>imagem</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Encaminhar solicitação de locação de serviço de filmagem, com no mínimo: </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Serviço de filmagem e edição das atividades, com cobertura fotográfica e entrega dos materiais em mídia digital. </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 xml:space="preserve">A edição e produção completa do(s) DVD(s) deverá ser realizada para a filmagem, entregue(s) em qualidade HDV, contendo Making Off e editado em menus animados. </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As fotos devem ser entregues em DVD.  A filmagem do evento, deve ser realizada em todo o espaço e contemplar todas as atividades, filmagem da conferência de abertura, mesas redondas, apresentações artísticas e culturais, se houverem.</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Os registros fotográficos deverão ser compostos pelos principais momentos do evento</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Serviços de tradução;</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sz w:val="20"/>
                <w:szCs w:val="20"/>
              </w:rPr>
              <w:t>Encaminhar solicitação de contratação de empresa especializada para prestar serviço de tradução de textos científicos do idioma português para inglês nas várias áreas de conhecimento do CNPq com vistas à sua publicação, fazendo distinção entre inglês americano e britânico.</w:t>
            </w:r>
          </w:p>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hAnsi="Californian FB"/>
                <w:sz w:val="20"/>
                <w:szCs w:val="20"/>
              </w:rPr>
              <w:t xml:space="preserve">Encaminhar solicitação de contratação de empresa especializada para prestar serviço de tradução de textos científicos do idioma </w:t>
            </w:r>
            <w:proofErr w:type="gramStart"/>
            <w:r w:rsidRPr="00DA0D33">
              <w:rPr>
                <w:rFonts w:ascii="Californian FB" w:hAnsi="Californian FB"/>
                <w:sz w:val="20"/>
                <w:szCs w:val="20"/>
              </w:rPr>
              <w:t>Português</w:t>
            </w:r>
            <w:proofErr w:type="gramEnd"/>
            <w:r w:rsidRPr="00DA0D33">
              <w:rPr>
                <w:rFonts w:ascii="Californian FB" w:hAnsi="Californian FB"/>
                <w:sz w:val="20"/>
                <w:szCs w:val="20"/>
              </w:rPr>
              <w:t xml:space="preserve"> para Espanhol nas várias áreas de conhecimento do CNPq com vistas à sua publicação</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 xml:space="preserve">Locação de veículos como micro-ônibus, vans ou ônibus. </w:t>
            </w:r>
          </w:p>
        </w:tc>
        <w:tc>
          <w:tcPr>
            <w:tcW w:w="5528"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Van</w:t>
            </w:r>
            <w:r w:rsidRPr="00DA0D33">
              <w:rPr>
                <w:rFonts w:ascii="Californian FB" w:hAnsi="Californian FB"/>
                <w:sz w:val="20"/>
                <w:szCs w:val="20"/>
              </w:rPr>
              <w:t xml:space="preserve"> para Viagens Intermunicipais, com motorista(s) e cobertura RCO (seguro para passageiros), para transporte de servidores e/ou acadêmicos da UNIOESTE, com capacidade mínima de 12 (doze) lugares, com espaço para bagagem. </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serviço de locação </w:t>
            </w:r>
            <w:proofErr w:type="gramStart"/>
            <w:r w:rsidRPr="00DA0D33">
              <w:rPr>
                <w:rFonts w:ascii="Californian FB" w:hAnsi="Californian FB"/>
                <w:b/>
                <w:bCs/>
                <w:sz w:val="20"/>
                <w:szCs w:val="20"/>
              </w:rPr>
              <w:t>Micro Ônibus</w:t>
            </w:r>
            <w:proofErr w:type="gramEnd"/>
            <w:r w:rsidRPr="00DA0D33">
              <w:rPr>
                <w:rFonts w:ascii="Californian FB" w:hAnsi="Californian FB"/>
                <w:sz w:val="20"/>
                <w:szCs w:val="20"/>
              </w:rPr>
              <w:t xml:space="preserve"> para Viagens Intermunicipais e Interestaduais, com motorista(s) e cobertura RCO (seguro para passageiros), para transporte de servidores e/ou acadêmicos da UNIOESTE, com capacidade mínima de 20 (vinte) lugares, com espaço para bagagem.</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Ônibus para Viagens Internacionais (Ônibus Leito/Leito)</w:t>
            </w:r>
            <w:r w:rsidRPr="00DA0D33">
              <w:rPr>
                <w:rFonts w:ascii="Californian FB" w:hAnsi="Californian FB"/>
                <w:sz w:val="20"/>
                <w:szCs w:val="20"/>
              </w:rPr>
              <w:t xml:space="preserve">, com motorista(s), e cobertura com seguro internacional para passageiros, para </w:t>
            </w:r>
            <w:r w:rsidRPr="00DA0D33">
              <w:rPr>
                <w:rFonts w:ascii="Californian FB" w:hAnsi="Californian FB"/>
                <w:sz w:val="20"/>
                <w:szCs w:val="20"/>
              </w:rPr>
              <w:lastRenderedPageBreak/>
              <w:t>transporte de servidores e/ou acadêmicos da UNIOESTE, com capacidade mínima de 28 (vinte e oito) lugares, equipado com banheiro, sistema de ar condicionado.</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 xml:space="preserve">Encaminhar solicitação de serviço de locação de Ônibus para Viagens Interestaduais (Ônibus Leito Executivo ou Turismo - </w:t>
            </w:r>
            <w:proofErr w:type="spellStart"/>
            <w:r w:rsidRPr="00DA0D33">
              <w:rPr>
                <w:rFonts w:ascii="Californian FB" w:hAnsi="Californian FB"/>
                <w:b/>
                <w:bCs/>
                <w:sz w:val="20"/>
                <w:szCs w:val="20"/>
              </w:rPr>
              <w:t>double</w:t>
            </w:r>
            <w:proofErr w:type="spellEnd"/>
            <w:r w:rsidRPr="00DA0D33">
              <w:rPr>
                <w:rFonts w:ascii="Californian FB" w:hAnsi="Californian FB"/>
                <w:b/>
                <w:bCs/>
                <w:sz w:val="20"/>
                <w:szCs w:val="20"/>
              </w:rPr>
              <w:t xml:space="preserve"> </w:t>
            </w:r>
            <w:proofErr w:type="spellStart"/>
            <w:r w:rsidRPr="00DA0D33">
              <w:rPr>
                <w:rFonts w:ascii="Californian FB" w:hAnsi="Californian FB"/>
                <w:b/>
                <w:bCs/>
                <w:sz w:val="20"/>
                <w:szCs w:val="20"/>
              </w:rPr>
              <w:t>decker</w:t>
            </w:r>
            <w:proofErr w:type="spellEnd"/>
            <w:r w:rsidRPr="00DA0D33">
              <w:rPr>
                <w:rFonts w:ascii="Californian FB" w:hAnsi="Californian FB"/>
                <w:b/>
                <w:bCs/>
                <w:sz w:val="20"/>
                <w:szCs w:val="20"/>
              </w:rPr>
              <w:t>)</w:t>
            </w:r>
            <w:r w:rsidRPr="00DA0D33">
              <w:rPr>
                <w:rFonts w:ascii="Californian FB" w:hAnsi="Californian FB"/>
                <w:sz w:val="20"/>
                <w:szCs w:val="20"/>
              </w:rPr>
              <w:t>, com motorista(s) e cobertura RCO (seguro para passageiros), para transporte de servidores e/ou acadêmicos da UNIOESTE, com capacidade mínima de 50 (cinquenta) lugares, equipado com banheiro, sistema de ar condicionado.</w:t>
            </w:r>
          </w:p>
          <w:p w:rsidR="00DA0D33" w:rsidRPr="00DA0D33" w:rsidRDefault="00DA0D33" w:rsidP="00DA0D33">
            <w:pPr>
              <w:suppressAutoHyphens/>
              <w:spacing w:before="60" w:after="60" w:line="228" w:lineRule="auto"/>
              <w:rPr>
                <w:rFonts w:ascii="Californian FB" w:hAnsi="Californian FB"/>
                <w:sz w:val="20"/>
                <w:szCs w:val="20"/>
              </w:rPr>
            </w:pPr>
            <w:r w:rsidRPr="00DA0D33">
              <w:rPr>
                <w:rFonts w:ascii="Californian FB" w:hAnsi="Californian FB"/>
                <w:b/>
                <w:bCs/>
                <w:sz w:val="20"/>
                <w:szCs w:val="20"/>
              </w:rPr>
              <w:t>Encaminhar solicitação de serviço de locação de Ônibus para Viagens Interestaduais (Ônibus Leito Executivo ou Turismo)</w:t>
            </w:r>
            <w:r w:rsidRPr="00DA0D33">
              <w:rPr>
                <w:rFonts w:ascii="Californian FB" w:hAnsi="Californian FB"/>
                <w:sz w:val="20"/>
                <w:szCs w:val="20"/>
              </w:rPr>
              <w:t>, com motorista(s) e cobertura RCO (seguro para passageiros), para transporte de servidores e/ou acadêmicos da UNIOESTE, com capacidade mínima de 42 (quarenta e dois) lugares, equipado com banheiro, sistema de ar condicionado.</w:t>
            </w:r>
            <w:bookmarkStart w:id="0" w:name="_GoBack"/>
            <w:bookmarkEnd w:id="0"/>
          </w:p>
        </w:tc>
        <w:tc>
          <w:tcPr>
            <w:tcW w:w="1560"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bottom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Hospedagem</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Diárias</w:t>
            </w:r>
          </w:p>
        </w:tc>
        <w:tc>
          <w:tcPr>
            <w:tcW w:w="5528"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c>
          <w:tcPr>
            <w:tcW w:w="1560"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bottom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Alimentação</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i/>
                <w:color w:val="000000"/>
                <w:spacing w:val="-4"/>
                <w:sz w:val="20"/>
                <w:szCs w:val="20"/>
                <w:lang w:eastAsia="pt-BR"/>
              </w:rPr>
            </w:pPr>
            <w:r w:rsidRPr="00DA0D33">
              <w:rPr>
                <w:rFonts w:ascii="Californian FB" w:eastAsia="Times New Roman" w:hAnsi="Californian FB" w:cs="Arial Narrow"/>
                <w:i/>
                <w:color w:val="000000"/>
                <w:spacing w:val="-4"/>
                <w:sz w:val="20"/>
                <w:szCs w:val="20"/>
                <w:lang w:eastAsia="pt-BR"/>
              </w:rPr>
              <w:t>Almoço</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bottom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bCs/>
                <w:i/>
                <w:iCs/>
                <w:color w:val="000000"/>
                <w:spacing w:val="-4"/>
                <w:sz w:val="20"/>
                <w:szCs w:val="20"/>
                <w:lang w:eastAsia="pt-BR"/>
              </w:rPr>
            </w:pPr>
            <w:r w:rsidRPr="00DA0D33">
              <w:rPr>
                <w:rFonts w:ascii="Californian FB" w:eastAsia="Times New Roman" w:hAnsi="Californian FB" w:cs="Arial Narrow"/>
                <w:bCs/>
                <w:i/>
                <w:iCs/>
                <w:color w:val="000000"/>
                <w:spacing w:val="-4"/>
                <w:sz w:val="20"/>
                <w:szCs w:val="20"/>
                <w:lang w:eastAsia="pt-BR"/>
              </w:rPr>
              <w:t>Jantar</w:t>
            </w:r>
          </w:p>
        </w:tc>
        <w:tc>
          <w:tcPr>
            <w:tcW w:w="5528"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Encaminhar Solicitação contendo o nome completo do palestrante, RG e CPF, em se tratando de palestrantes estrangeiros faz-se necessário o número do passaporte.</w:t>
            </w:r>
          </w:p>
        </w:tc>
        <w:tc>
          <w:tcPr>
            <w:tcW w:w="1560"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bottom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bottom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r w:rsidR="00DA0D33" w:rsidRPr="00DA0D33" w:rsidTr="0069512C">
        <w:trPr>
          <w:trHeight w:val="20"/>
          <w:jc w:val="center"/>
        </w:trPr>
        <w:tc>
          <w:tcPr>
            <w:tcW w:w="4389" w:type="dxa"/>
            <w:tcBorders>
              <w:top w:val="single" w:sz="4" w:space="0" w:color="auto"/>
              <w:left w:val="single" w:sz="4" w:space="0" w:color="auto"/>
              <w:right w:val="single" w:sz="4" w:space="0" w:color="auto"/>
            </w:tcBorders>
            <w:shd w:val="clear" w:color="auto" w:fill="BDD6EE" w:themeFill="accent5" w:themeFillTint="66"/>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Passagens nacionais e internacionais</w:t>
            </w:r>
          </w:p>
        </w:tc>
        <w:tc>
          <w:tcPr>
            <w:tcW w:w="5528"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r w:rsidRPr="00DA0D33">
              <w:rPr>
                <w:rFonts w:ascii="Californian FB" w:eastAsia="Times New Roman" w:hAnsi="Californian FB" w:cs="Arial Narrow"/>
                <w:b/>
                <w:color w:val="000000"/>
                <w:spacing w:val="-4"/>
                <w:sz w:val="20"/>
                <w:szCs w:val="20"/>
                <w:lang w:eastAsia="pt-BR"/>
              </w:rPr>
              <w:t xml:space="preserve">Encaminhar solicitação através do preenchimento do anexo </w:t>
            </w:r>
            <w:r w:rsidR="004F1BB9">
              <w:rPr>
                <w:rFonts w:ascii="Californian FB" w:eastAsia="Times New Roman" w:hAnsi="Californian FB" w:cs="Arial Narrow"/>
                <w:b/>
                <w:color w:val="000000"/>
                <w:spacing w:val="-4"/>
                <w:sz w:val="20"/>
                <w:szCs w:val="20"/>
                <w:lang w:eastAsia="pt-BR"/>
              </w:rPr>
              <w:t>I</w:t>
            </w:r>
            <w:r w:rsidRPr="00DA0D33">
              <w:rPr>
                <w:rFonts w:ascii="Californian FB" w:eastAsia="Times New Roman" w:hAnsi="Californian FB" w:cs="Arial Narrow"/>
                <w:b/>
                <w:color w:val="000000"/>
                <w:spacing w:val="-4"/>
                <w:sz w:val="20"/>
                <w:szCs w:val="20"/>
                <w:lang w:eastAsia="pt-BR"/>
              </w:rPr>
              <w:t>V</w:t>
            </w:r>
          </w:p>
        </w:tc>
        <w:tc>
          <w:tcPr>
            <w:tcW w:w="1560"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c>
          <w:tcPr>
            <w:tcW w:w="1842" w:type="dxa"/>
            <w:tcBorders>
              <w:top w:val="single" w:sz="4" w:space="0" w:color="auto"/>
              <w:left w:val="single" w:sz="4" w:space="0" w:color="auto"/>
              <w:right w:val="single" w:sz="4" w:space="0" w:color="auto"/>
            </w:tcBorders>
            <w:shd w:val="clear" w:color="auto" w:fill="E5B8B7"/>
          </w:tcPr>
          <w:p w:rsidR="00DA0D33" w:rsidRPr="005402F3" w:rsidRDefault="00DA0D33" w:rsidP="00DA0D33">
            <w:pPr>
              <w:suppressAutoHyphens/>
              <w:spacing w:before="60" w:after="60" w:line="228" w:lineRule="auto"/>
              <w:rPr>
                <w:rFonts w:ascii="Arial Narrow" w:eastAsia="Times New Roman" w:hAnsi="Arial Narrow" w:cs="Arial Narrow"/>
                <w:i/>
                <w:color w:val="000000"/>
                <w:spacing w:val="-4"/>
                <w:sz w:val="20"/>
                <w:szCs w:val="20"/>
                <w:lang w:eastAsia="pt-BR"/>
              </w:rPr>
            </w:pPr>
            <w:r>
              <w:rPr>
                <w:rFonts w:ascii="Arial Narrow" w:eastAsia="Times New Roman" w:hAnsi="Arial Narrow" w:cs="Arial Narrow"/>
                <w:i/>
                <w:color w:val="000000"/>
                <w:spacing w:val="-4"/>
                <w:sz w:val="20"/>
                <w:szCs w:val="20"/>
                <w:lang w:eastAsia="pt-BR"/>
              </w:rPr>
              <w:t>20 dias de antecedência</w:t>
            </w:r>
          </w:p>
        </w:tc>
        <w:tc>
          <w:tcPr>
            <w:tcW w:w="1417" w:type="dxa"/>
            <w:tcBorders>
              <w:top w:val="single" w:sz="4" w:space="0" w:color="auto"/>
              <w:left w:val="single" w:sz="4" w:space="0" w:color="auto"/>
              <w:right w:val="single" w:sz="4" w:space="0" w:color="auto"/>
            </w:tcBorders>
            <w:shd w:val="clear" w:color="auto" w:fill="E5B8B7"/>
          </w:tcPr>
          <w:p w:rsidR="00DA0D33" w:rsidRPr="00DA0D33" w:rsidRDefault="00DA0D33" w:rsidP="00DA0D33">
            <w:pPr>
              <w:suppressAutoHyphens/>
              <w:spacing w:before="60" w:after="60" w:line="228" w:lineRule="auto"/>
              <w:rPr>
                <w:rFonts w:ascii="Californian FB" w:eastAsia="Times New Roman" w:hAnsi="Californian FB" w:cs="Arial Narrow"/>
                <w:b/>
                <w:color w:val="000000"/>
                <w:spacing w:val="-4"/>
                <w:sz w:val="20"/>
                <w:szCs w:val="20"/>
                <w:lang w:eastAsia="pt-BR"/>
              </w:rPr>
            </w:pPr>
          </w:p>
        </w:tc>
      </w:tr>
    </w:tbl>
    <w:p w:rsidR="000130BB" w:rsidRDefault="000130BB" w:rsidP="000130BB"/>
    <w:p w:rsidR="00F6262F" w:rsidRDefault="004606E6"/>
    <w:sectPr w:rsidR="00F6262F" w:rsidSect="003717BC">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fornian FB">
    <w:panose1 w:val="0207040306080B03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0BB"/>
    <w:rsid w:val="000130BB"/>
    <w:rsid w:val="001633F4"/>
    <w:rsid w:val="002D596A"/>
    <w:rsid w:val="00352781"/>
    <w:rsid w:val="003717BC"/>
    <w:rsid w:val="004606E6"/>
    <w:rsid w:val="004D4DC6"/>
    <w:rsid w:val="004F1BB9"/>
    <w:rsid w:val="0062572D"/>
    <w:rsid w:val="00694ECF"/>
    <w:rsid w:val="0069512C"/>
    <w:rsid w:val="006B0A28"/>
    <w:rsid w:val="006B30CA"/>
    <w:rsid w:val="006E45AE"/>
    <w:rsid w:val="008B466F"/>
    <w:rsid w:val="008E16EF"/>
    <w:rsid w:val="0090466A"/>
    <w:rsid w:val="00A64B2C"/>
    <w:rsid w:val="00B27C55"/>
    <w:rsid w:val="00B614DB"/>
    <w:rsid w:val="00DA0D33"/>
    <w:rsid w:val="00E96A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FC4F4"/>
  <w15:chartTrackingRefBased/>
  <w15:docId w15:val="{4EEDCAD0-AB27-48DE-8466-57D0EEB71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130BB"/>
    <w:pPr>
      <w:spacing w:after="200" w:line="276" w:lineRule="auto"/>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370</TotalTime>
  <Pages>5</Pages>
  <Words>1470</Words>
  <Characters>7939</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Adriana de Mello</dc:creator>
  <cp:keywords/>
  <dc:description/>
  <cp:lastModifiedBy>Adriana de Mello</cp:lastModifiedBy>
  <cp:revision>5</cp:revision>
  <cp:lastPrinted>2019-10-21T12:38:00Z</cp:lastPrinted>
  <dcterms:created xsi:type="dcterms:W3CDTF">2019-10-18T19:50:00Z</dcterms:created>
  <dcterms:modified xsi:type="dcterms:W3CDTF">2019-10-21T20:07:00Z</dcterms:modified>
</cp:coreProperties>
</file>